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5D600" w14:textId="77777777" w:rsidR="00782F68" w:rsidRDefault="00270A6D">
      <w:pPr>
        <w:pStyle w:val="Title"/>
        <w:rPr>
          <w:rFonts w:ascii="AoyagiKouzanFontT" w:eastAsia="AoyagiKouzanFontT"/>
          <w:u w:val="none"/>
        </w:rPr>
      </w:pPr>
      <w:r>
        <w:rPr>
          <w:w w:val="99"/>
          <w:u w:val="thick"/>
        </w:rPr>
        <w:t>Material</w:t>
      </w:r>
      <w:r>
        <w:rPr>
          <w:u w:val="thick"/>
        </w:rPr>
        <w:t xml:space="preserve"> </w:t>
      </w:r>
      <w:r>
        <w:rPr>
          <w:w w:val="99"/>
          <w:u w:val="thick"/>
        </w:rPr>
        <w:t>Safety</w:t>
      </w:r>
      <w:r>
        <w:rPr>
          <w:u w:val="thick"/>
        </w:rPr>
        <w:t xml:space="preserve"> </w:t>
      </w:r>
      <w:r>
        <w:rPr>
          <w:w w:val="99"/>
          <w:u w:val="thick"/>
        </w:rPr>
        <w:t>Da</w:t>
      </w:r>
      <w:r>
        <w:rPr>
          <w:spacing w:val="-5"/>
          <w:w w:val="99"/>
          <w:u w:val="thick"/>
        </w:rPr>
        <w:t>t</w:t>
      </w:r>
      <w:r>
        <w:rPr>
          <w:w w:val="99"/>
          <w:u w:val="thick"/>
        </w:rPr>
        <w:t>a</w:t>
      </w:r>
      <w:r>
        <w:rPr>
          <w:spacing w:val="2"/>
          <w:u w:val="thick"/>
        </w:rPr>
        <w:t xml:space="preserve"> </w:t>
      </w:r>
      <w:proofErr w:type="spellStart"/>
      <w:r>
        <w:rPr>
          <w:w w:val="99"/>
          <w:u w:val="thick"/>
        </w:rPr>
        <w:t>Shee</w:t>
      </w:r>
      <w:r>
        <w:rPr>
          <w:spacing w:val="2"/>
          <w:w w:val="99"/>
          <w:u w:val="thick"/>
        </w:rPr>
        <w:t>t</w:t>
      </w:r>
      <w:r>
        <w:rPr>
          <w:rFonts w:ascii="AoyagiKouzanFontT" w:eastAsia="AoyagiKouzanFontT" w:hint="eastAsia"/>
          <w:w w:val="49"/>
          <w:u w:val="thick"/>
        </w:rPr>
        <w:t>（</w:t>
      </w:r>
      <w:r>
        <w:rPr>
          <w:rFonts w:ascii="AoyagiKouzanFontT" w:eastAsia="AoyagiKouzanFontT" w:hint="eastAsia"/>
          <w:w w:val="79"/>
          <w:u w:val="thick"/>
        </w:rPr>
        <w:t>ＭＳＤ</w:t>
      </w:r>
      <w:r>
        <w:rPr>
          <w:rFonts w:ascii="AoyagiKouzanFontT" w:eastAsia="AoyagiKouzanFontT" w:hint="eastAsia"/>
          <w:spacing w:val="1"/>
          <w:w w:val="72"/>
          <w:u w:val="thick"/>
        </w:rPr>
        <w:t>Ｓ</w:t>
      </w:r>
      <w:proofErr w:type="spellEnd"/>
      <w:r>
        <w:rPr>
          <w:rFonts w:ascii="AoyagiKouzanFontT" w:eastAsia="AoyagiKouzanFontT" w:hint="eastAsia"/>
          <w:spacing w:val="2"/>
          <w:w w:val="49"/>
          <w:u w:val="thick"/>
        </w:rPr>
        <w:t>）</w:t>
      </w:r>
    </w:p>
    <w:p w14:paraId="01AF86AF" w14:textId="77777777" w:rsidR="00782F68" w:rsidRDefault="00782F68">
      <w:pPr>
        <w:pStyle w:val="BodyText"/>
        <w:spacing w:before="9"/>
        <w:rPr>
          <w:rFonts w:ascii="AoyagiKouzanFontT"/>
          <w:sz w:val="12"/>
        </w:rPr>
      </w:pPr>
    </w:p>
    <w:p w14:paraId="45CEA265" w14:textId="77777777" w:rsidR="00270A6D" w:rsidRDefault="00270A6D" w:rsidP="00270A6D">
      <w:pPr>
        <w:pStyle w:val="BodyText"/>
        <w:tabs>
          <w:tab w:val="left" w:pos="3960"/>
        </w:tabs>
        <w:ind w:left="112" w:right="6530"/>
      </w:pPr>
      <w:proofErr w:type="spellStart"/>
      <w:r>
        <w:t>Teozon</w:t>
      </w:r>
      <w:proofErr w:type="spellEnd"/>
      <w:r>
        <w:t xml:space="preserve"> Manufacturing (Asia) Sdn Bhd</w:t>
      </w:r>
    </w:p>
    <w:p w14:paraId="2338C6BA" w14:textId="77777777" w:rsidR="00270A6D" w:rsidRDefault="00270A6D">
      <w:pPr>
        <w:pStyle w:val="BodyText"/>
        <w:ind w:left="112" w:right="7381"/>
      </w:pPr>
      <w:r>
        <w:t>No.8, Jalan Bukit 9,</w:t>
      </w:r>
    </w:p>
    <w:p w14:paraId="542C835E" w14:textId="77777777" w:rsidR="00270A6D" w:rsidRDefault="00270A6D">
      <w:pPr>
        <w:pStyle w:val="BodyText"/>
        <w:ind w:left="112" w:right="7381"/>
      </w:pPr>
      <w:r>
        <w:t>Kawasan MIEL,</w:t>
      </w:r>
    </w:p>
    <w:p w14:paraId="4AB89706" w14:textId="77777777" w:rsidR="00270A6D" w:rsidRDefault="00270A6D">
      <w:pPr>
        <w:pStyle w:val="BodyText"/>
        <w:ind w:left="112" w:right="7381"/>
      </w:pPr>
      <w:r>
        <w:t xml:space="preserve">Bandar Seri </w:t>
      </w:r>
      <w:proofErr w:type="spellStart"/>
      <w:r>
        <w:t>Alam</w:t>
      </w:r>
      <w:proofErr w:type="spellEnd"/>
      <w:r>
        <w:t xml:space="preserve">, </w:t>
      </w:r>
    </w:p>
    <w:p w14:paraId="26868DE8" w14:textId="77777777" w:rsidR="00270A6D" w:rsidRDefault="00270A6D" w:rsidP="00270A6D">
      <w:pPr>
        <w:pStyle w:val="BodyText"/>
        <w:spacing w:line="252" w:lineRule="exact"/>
        <w:ind w:left="112"/>
      </w:pPr>
      <w:r>
        <w:t>81750 Masai Johor.</w:t>
      </w:r>
    </w:p>
    <w:p w14:paraId="12FED720" w14:textId="77777777" w:rsidR="00782F68" w:rsidRDefault="00270A6D" w:rsidP="00270A6D">
      <w:pPr>
        <w:pStyle w:val="BodyText"/>
        <w:spacing w:line="252" w:lineRule="exact"/>
        <w:ind w:left="112"/>
      </w:pPr>
      <w:r>
        <w:t>Tel: +607-3860628</w:t>
      </w:r>
    </w:p>
    <w:p w14:paraId="558F91EF" w14:textId="77777777" w:rsidR="00782F68" w:rsidRDefault="00782F68">
      <w:pPr>
        <w:pStyle w:val="BodyText"/>
        <w:rPr>
          <w:sz w:val="20"/>
        </w:rPr>
      </w:pPr>
    </w:p>
    <w:p w14:paraId="7FDE5736" w14:textId="77777777" w:rsidR="00782F68" w:rsidRDefault="002C08EE">
      <w:pPr>
        <w:pStyle w:val="BodyText"/>
        <w:spacing w:before="9"/>
        <w:rPr>
          <w:sz w:val="14"/>
        </w:rPr>
      </w:pPr>
      <w:r>
        <w:pict w14:anchorId="2DB7B3F7">
          <v:shape id="_x0000_s1027" style="position:absolute;margin-left:45.55pt;margin-top:11pt;width:510pt;height:.1pt;z-index:-15728640;mso-wrap-distance-left:0;mso-wrap-distance-right:0;mso-position-horizontal-relative:page" coordorigin="911,220" coordsize="10200,0" path="m911,220r10200,e" filled="f" strokeweight="1pt">
            <v:path arrowok="t"/>
            <w10:wrap type="topAndBottom" anchorx="page"/>
          </v:shape>
        </w:pict>
      </w:r>
    </w:p>
    <w:p w14:paraId="0FC4A735" w14:textId="4C24C941" w:rsidR="00782F68" w:rsidRDefault="00270A6D">
      <w:pPr>
        <w:tabs>
          <w:tab w:val="left" w:pos="3472"/>
        </w:tabs>
        <w:spacing w:before="130"/>
        <w:ind w:left="112"/>
        <w:rPr>
          <w:sz w:val="32"/>
        </w:rPr>
      </w:pPr>
      <w:r>
        <w:rPr>
          <w:sz w:val="24"/>
          <w:u w:val="single"/>
        </w:rPr>
        <w:t>Product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Name</w:t>
      </w:r>
      <w:r>
        <w:rPr>
          <w:sz w:val="24"/>
        </w:rPr>
        <w:tab/>
      </w:r>
      <w:r>
        <w:rPr>
          <w:sz w:val="32"/>
        </w:rPr>
        <w:t>Quantum-Ion</w:t>
      </w:r>
      <w:r>
        <w:rPr>
          <w:sz w:val="32"/>
          <w:vertAlign w:val="superscript"/>
        </w:rPr>
        <w:t>®</w:t>
      </w:r>
      <w:r>
        <w:rPr>
          <w:sz w:val="32"/>
        </w:rPr>
        <w:t xml:space="preserve"> – </w:t>
      </w:r>
      <w:r w:rsidR="002C08EE">
        <w:rPr>
          <w:sz w:val="32"/>
        </w:rPr>
        <w:t>A307</w:t>
      </w:r>
      <w:r>
        <w:rPr>
          <w:sz w:val="32"/>
        </w:rPr>
        <w:t xml:space="preserve"> Series</w:t>
      </w:r>
    </w:p>
    <w:p w14:paraId="064F6803" w14:textId="77777777" w:rsidR="00782F68" w:rsidRDefault="002C08EE">
      <w:pPr>
        <w:pStyle w:val="BodyText"/>
        <w:spacing w:before="7"/>
        <w:rPr>
          <w:sz w:val="11"/>
        </w:rPr>
      </w:pPr>
      <w:r>
        <w:pict w14:anchorId="7B7FCD30">
          <v:shape id="_x0000_s1026" style="position:absolute;margin-left:45.55pt;margin-top:9.15pt;width:510pt;height:.1pt;z-index:-15728128;mso-wrap-distance-left:0;mso-wrap-distance-right:0;mso-position-horizontal-relative:page" coordorigin="911,183" coordsize="10200,0" path="m911,183r10200,e" filled="f" strokeweight="1pt">
            <v:path arrowok="t"/>
            <w10:wrap type="topAndBottom" anchorx="page"/>
          </v:shape>
        </w:pict>
      </w:r>
    </w:p>
    <w:p w14:paraId="2F55E0B5" w14:textId="77777777" w:rsidR="00782F68" w:rsidRDefault="00782F68">
      <w:pPr>
        <w:pStyle w:val="BodyText"/>
        <w:spacing w:before="11"/>
        <w:rPr>
          <w:sz w:val="12"/>
        </w:rPr>
      </w:pPr>
    </w:p>
    <w:p w14:paraId="0C9A3A47" w14:textId="77777777" w:rsidR="00782F68" w:rsidRDefault="00782F68">
      <w:pPr>
        <w:rPr>
          <w:sz w:val="12"/>
        </w:rPr>
        <w:sectPr w:rsidR="00782F68">
          <w:type w:val="continuous"/>
          <w:pgSz w:w="11910" w:h="16850"/>
          <w:pgMar w:top="620" w:right="680" w:bottom="280" w:left="740" w:header="720" w:footer="720" w:gutter="0"/>
          <w:cols w:space="720"/>
        </w:sectPr>
      </w:pPr>
    </w:p>
    <w:p w14:paraId="13BA63F4" w14:textId="77777777" w:rsidR="00782F68" w:rsidRDefault="00270A6D">
      <w:pPr>
        <w:pStyle w:val="Heading1"/>
        <w:spacing w:before="92"/>
        <w:jc w:val="left"/>
        <w:rPr>
          <w:u w:val="none"/>
        </w:rPr>
      </w:pPr>
      <w:r>
        <w:t>Information on Ingredients</w:t>
      </w:r>
    </w:p>
    <w:p w14:paraId="709936EB" w14:textId="77777777" w:rsidR="00782F68" w:rsidRDefault="00270A6D">
      <w:pPr>
        <w:pStyle w:val="BodyText"/>
        <w:spacing w:before="185" w:line="415" w:lineRule="auto"/>
        <w:ind w:left="1072"/>
      </w:pPr>
      <w:r>
        <w:t xml:space="preserve">Product </w:t>
      </w:r>
      <w:proofErr w:type="gramStart"/>
      <w:r>
        <w:rPr>
          <w:spacing w:val="-4"/>
        </w:rPr>
        <w:t>Type</w:t>
      </w:r>
      <w:r>
        <w:rPr>
          <w:spacing w:val="53"/>
        </w:rPr>
        <w:t xml:space="preserve"> </w:t>
      </w:r>
      <w:r>
        <w:t>:</w:t>
      </w:r>
      <w:proofErr w:type="gramEnd"/>
      <w:r>
        <w:t xml:space="preserve"> </w:t>
      </w:r>
      <w:r>
        <w:rPr>
          <w:spacing w:val="-4"/>
        </w:rPr>
        <w:t xml:space="preserve">Mixture </w:t>
      </w:r>
      <w:r>
        <w:rPr>
          <w:u w:val="single"/>
        </w:rPr>
        <w:t>Ingredients</w:t>
      </w:r>
    </w:p>
    <w:p w14:paraId="40DCC6D0" w14:textId="77777777" w:rsidR="00782F68" w:rsidRDefault="00270A6D">
      <w:pPr>
        <w:pStyle w:val="BodyText"/>
      </w:pPr>
      <w:r>
        <w:br w:type="column"/>
      </w:r>
    </w:p>
    <w:p w14:paraId="70C3F3B3" w14:textId="77777777" w:rsidR="00782F68" w:rsidRDefault="00782F68">
      <w:pPr>
        <w:pStyle w:val="BodyText"/>
      </w:pPr>
    </w:p>
    <w:p w14:paraId="28690793" w14:textId="77777777" w:rsidR="00782F68" w:rsidRDefault="00782F68">
      <w:pPr>
        <w:pStyle w:val="BodyText"/>
      </w:pPr>
    </w:p>
    <w:p w14:paraId="60545B75" w14:textId="77777777" w:rsidR="00782F68" w:rsidRDefault="00782F68">
      <w:pPr>
        <w:pStyle w:val="BodyText"/>
        <w:spacing w:before="5"/>
        <w:rPr>
          <w:sz w:val="20"/>
        </w:rPr>
      </w:pPr>
    </w:p>
    <w:p w14:paraId="1F45752B" w14:textId="77777777" w:rsidR="00782F68" w:rsidRDefault="00270A6D">
      <w:pPr>
        <w:ind w:left="112"/>
        <w:rPr>
          <w:sz w:val="20"/>
        </w:rPr>
      </w:pPr>
      <w:r>
        <w:rPr>
          <w:sz w:val="20"/>
          <w:u w:val="single"/>
        </w:rPr>
        <w:t>CAS Number</w:t>
      </w:r>
    </w:p>
    <w:p w14:paraId="46ACA80B" w14:textId="77777777" w:rsidR="00782F68" w:rsidRDefault="00270A6D">
      <w:pPr>
        <w:pStyle w:val="BodyText"/>
        <w:rPr>
          <w:sz w:val="24"/>
        </w:rPr>
      </w:pPr>
      <w:r>
        <w:br w:type="column"/>
      </w:r>
    </w:p>
    <w:p w14:paraId="68B79B64" w14:textId="77777777" w:rsidR="00782F68" w:rsidRDefault="00782F68">
      <w:pPr>
        <w:pStyle w:val="BodyText"/>
        <w:rPr>
          <w:sz w:val="24"/>
        </w:rPr>
      </w:pPr>
    </w:p>
    <w:p w14:paraId="66D12CA8" w14:textId="77777777" w:rsidR="00782F68" w:rsidRDefault="00782F68">
      <w:pPr>
        <w:pStyle w:val="BodyText"/>
        <w:rPr>
          <w:sz w:val="24"/>
        </w:rPr>
      </w:pPr>
    </w:p>
    <w:p w14:paraId="01AB275D" w14:textId="77777777" w:rsidR="00782F68" w:rsidRDefault="00270A6D">
      <w:pPr>
        <w:pStyle w:val="BodyText"/>
        <w:tabs>
          <w:tab w:val="left" w:pos="1611"/>
        </w:tabs>
        <w:spacing w:before="162"/>
        <w:ind w:left="112"/>
      </w:pPr>
      <w:r>
        <w:rPr>
          <w:u w:val="single"/>
        </w:rPr>
        <w:t>Proportion</w:t>
      </w:r>
      <w:r>
        <w:tab/>
      </w:r>
      <w:r>
        <w:rPr>
          <w:u w:val="single"/>
        </w:rPr>
        <w:t>Remarks</w:t>
      </w:r>
    </w:p>
    <w:p w14:paraId="1E11D7B4" w14:textId="77777777" w:rsidR="00782F68" w:rsidRDefault="00782F68">
      <w:pPr>
        <w:sectPr w:rsidR="00782F68">
          <w:type w:val="continuous"/>
          <w:pgSz w:w="11910" w:h="16850"/>
          <w:pgMar w:top="620" w:right="680" w:bottom="280" w:left="740" w:header="720" w:footer="720" w:gutter="0"/>
          <w:cols w:num="3" w:space="720" w:equalWidth="0">
            <w:col w:w="3479" w:space="918"/>
            <w:col w:w="1328" w:space="1837"/>
            <w:col w:w="2928"/>
          </w:cols>
        </w:sectPr>
      </w:pPr>
    </w:p>
    <w:p w14:paraId="2D8CE1B8" w14:textId="77777777" w:rsidR="00782F68" w:rsidRDefault="00270A6D">
      <w:pPr>
        <w:pStyle w:val="BodyText"/>
        <w:tabs>
          <w:tab w:val="left" w:pos="4531"/>
          <w:tab w:val="left" w:pos="7913"/>
        </w:tabs>
        <w:spacing w:before="90"/>
        <w:ind w:left="1072"/>
      </w:pPr>
      <w:r>
        <w:t>Titanium</w:t>
      </w:r>
      <w:r>
        <w:rPr>
          <w:spacing w:val="-7"/>
        </w:rPr>
        <w:t xml:space="preserve"> </w:t>
      </w:r>
      <w:r>
        <w:t>dioxide</w:t>
      </w:r>
      <w:r>
        <w:tab/>
        <w:t>13463-67-7</w:t>
      </w:r>
      <w:r>
        <w:tab/>
        <w:t>0.1-0.2%</w:t>
      </w:r>
    </w:p>
    <w:p w14:paraId="10BC2BB6" w14:textId="77777777" w:rsidR="00782F68" w:rsidRDefault="00270A6D">
      <w:pPr>
        <w:pStyle w:val="BodyText"/>
        <w:tabs>
          <w:tab w:val="left" w:pos="4521"/>
          <w:tab w:val="left" w:pos="7913"/>
        </w:tabs>
        <w:spacing w:before="1" w:line="252" w:lineRule="exact"/>
        <w:ind w:left="1072"/>
      </w:pPr>
      <w:r>
        <w:t>Ionic Copper</w:t>
      </w:r>
      <w:r>
        <w:tab/>
        <w:t>7758-99-8</w:t>
      </w:r>
      <w:r>
        <w:tab/>
        <w:t>0.03-0.08%</w:t>
      </w:r>
    </w:p>
    <w:p w14:paraId="1DE58CC2" w14:textId="77777777" w:rsidR="00782F68" w:rsidRDefault="00270A6D">
      <w:pPr>
        <w:pStyle w:val="BodyText"/>
        <w:tabs>
          <w:tab w:val="left" w:pos="7913"/>
        </w:tabs>
        <w:spacing w:line="252" w:lineRule="exact"/>
        <w:ind w:left="1072"/>
      </w:pPr>
      <w:r>
        <w:t>Water</w:t>
      </w:r>
      <w:r>
        <w:tab/>
        <w:t>99.72-99.87%</w:t>
      </w:r>
    </w:p>
    <w:p w14:paraId="0A55A554" w14:textId="77777777" w:rsidR="00782F68" w:rsidRDefault="00782F68">
      <w:pPr>
        <w:pStyle w:val="BodyText"/>
        <w:rPr>
          <w:sz w:val="24"/>
        </w:rPr>
      </w:pPr>
    </w:p>
    <w:p w14:paraId="12B4397F" w14:textId="77777777" w:rsidR="00782F68" w:rsidRDefault="00270A6D">
      <w:pPr>
        <w:pStyle w:val="BodyText"/>
        <w:tabs>
          <w:tab w:val="left" w:pos="2880"/>
        </w:tabs>
        <w:spacing w:before="162" w:line="252" w:lineRule="exact"/>
        <w:ind w:right="3857"/>
        <w:jc w:val="center"/>
      </w:pPr>
      <w:r>
        <w:t>UN</w:t>
      </w:r>
      <w:r>
        <w:rPr>
          <w:spacing w:val="-2"/>
        </w:rPr>
        <w:t xml:space="preserve"> </w:t>
      </w:r>
      <w:r>
        <w:t>classification</w:t>
      </w:r>
      <w:r>
        <w:tab/>
        <w:t>: Not</w:t>
      </w:r>
      <w:r>
        <w:rPr>
          <w:spacing w:val="-38"/>
        </w:rPr>
        <w:t xml:space="preserve"> </w:t>
      </w:r>
      <w:r>
        <w:t>applicable</w:t>
      </w:r>
    </w:p>
    <w:p w14:paraId="270E7689" w14:textId="77777777" w:rsidR="00782F68" w:rsidRDefault="00270A6D">
      <w:pPr>
        <w:pStyle w:val="BodyText"/>
        <w:tabs>
          <w:tab w:val="left" w:pos="3952"/>
        </w:tabs>
        <w:ind w:left="1072" w:right="4930"/>
        <w:jc w:val="center"/>
      </w:pPr>
      <w:r>
        <w:t>UN</w:t>
      </w:r>
      <w:r>
        <w:rPr>
          <w:spacing w:val="-1"/>
        </w:rPr>
        <w:t xml:space="preserve"> </w:t>
      </w:r>
      <w:r>
        <w:t>number</w:t>
      </w:r>
      <w:r>
        <w:tab/>
        <w:t xml:space="preserve">: Not </w:t>
      </w:r>
      <w:r>
        <w:rPr>
          <w:spacing w:val="-3"/>
        </w:rPr>
        <w:t xml:space="preserve">applicable </w:t>
      </w:r>
      <w:r>
        <w:t>Pollutant Release and Transfer Register</w:t>
      </w:r>
      <w:r>
        <w:rPr>
          <w:spacing w:val="-21"/>
        </w:rPr>
        <w:t xml:space="preserve"> </w:t>
      </w:r>
      <w:r>
        <w:t>Law</w:t>
      </w:r>
    </w:p>
    <w:p w14:paraId="70E61E7D" w14:textId="77777777" w:rsidR="00782F68" w:rsidRDefault="00270A6D">
      <w:pPr>
        <w:pStyle w:val="BodyText"/>
        <w:spacing w:before="1" w:line="252" w:lineRule="exact"/>
        <w:ind w:right="977"/>
        <w:jc w:val="center"/>
      </w:pPr>
      <w:r>
        <w:t>:   Not applicable</w:t>
      </w:r>
    </w:p>
    <w:p w14:paraId="472C8E81" w14:textId="77777777" w:rsidR="00782F68" w:rsidRDefault="00270A6D">
      <w:pPr>
        <w:pStyle w:val="BodyText"/>
        <w:spacing w:line="252" w:lineRule="exact"/>
        <w:ind w:right="970"/>
        <w:jc w:val="center"/>
      </w:pPr>
      <w:r>
        <w:t>Substance subject to notification under the Industrial Safety and Health Law</w:t>
      </w:r>
    </w:p>
    <w:p w14:paraId="1363D6B0" w14:textId="77777777" w:rsidR="00782F68" w:rsidRDefault="00270A6D">
      <w:pPr>
        <w:pStyle w:val="BodyText"/>
        <w:spacing w:before="1"/>
        <w:ind w:right="977"/>
        <w:jc w:val="center"/>
      </w:pPr>
      <w:r>
        <w:t>:   Not applicable</w:t>
      </w:r>
    </w:p>
    <w:p w14:paraId="782FE005" w14:textId="77777777" w:rsidR="00782F68" w:rsidRDefault="00782F68">
      <w:pPr>
        <w:pStyle w:val="BodyText"/>
        <w:spacing w:before="11"/>
        <w:rPr>
          <w:sz w:val="23"/>
        </w:rPr>
      </w:pPr>
    </w:p>
    <w:p w14:paraId="5FB227F6" w14:textId="77777777" w:rsidR="00782F68" w:rsidRDefault="00270A6D">
      <w:pPr>
        <w:pStyle w:val="Heading1"/>
        <w:jc w:val="left"/>
        <w:rPr>
          <w:u w:val="none"/>
        </w:rPr>
      </w:pPr>
      <w:r>
        <w:t>Hazards Classification</w:t>
      </w:r>
    </w:p>
    <w:p w14:paraId="50B3E3DB" w14:textId="77777777" w:rsidR="00782F68" w:rsidRDefault="00270A6D">
      <w:pPr>
        <w:pStyle w:val="BodyText"/>
        <w:tabs>
          <w:tab w:val="left" w:pos="3952"/>
          <w:tab w:val="left" w:pos="4255"/>
        </w:tabs>
        <w:spacing w:before="184"/>
        <w:ind w:left="1072" w:right="1983"/>
      </w:pPr>
      <w:r>
        <w:t>Name</w:t>
      </w:r>
      <w:r>
        <w:rPr>
          <w:spacing w:val="-2"/>
        </w:rPr>
        <w:t xml:space="preserve"> </w:t>
      </w:r>
      <w:r>
        <w:t>of classification</w:t>
      </w:r>
      <w:r>
        <w:tab/>
        <w:t>: Not applicable to the classification standards Adverse human</w:t>
      </w:r>
      <w:r>
        <w:rPr>
          <w:spacing w:val="-7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effects:</w:t>
      </w:r>
      <w:r>
        <w:tab/>
        <w:t>Not</w:t>
      </w:r>
      <w:r>
        <w:rPr>
          <w:spacing w:val="-1"/>
        </w:rPr>
        <w:t xml:space="preserve"> </w:t>
      </w:r>
      <w:r>
        <w:t>toxicity</w:t>
      </w:r>
    </w:p>
    <w:p w14:paraId="20391A15" w14:textId="77777777" w:rsidR="00782F68" w:rsidRDefault="00270A6D">
      <w:pPr>
        <w:pStyle w:val="BodyText"/>
        <w:tabs>
          <w:tab w:val="left" w:pos="3952"/>
        </w:tabs>
        <w:spacing w:before="1" w:line="252" w:lineRule="exact"/>
        <w:ind w:left="1072"/>
      </w:pPr>
      <w:r>
        <w:t>Hazardous nature</w:t>
      </w:r>
      <w:r>
        <w:tab/>
        <w:t>: Low risk in normal</w:t>
      </w:r>
      <w:r>
        <w:rPr>
          <w:spacing w:val="-42"/>
        </w:rPr>
        <w:t xml:space="preserve"> </w:t>
      </w:r>
      <w:r>
        <w:t>use.</w:t>
      </w:r>
    </w:p>
    <w:p w14:paraId="49AA6315" w14:textId="77777777" w:rsidR="00782F68" w:rsidRDefault="00270A6D">
      <w:pPr>
        <w:pStyle w:val="BodyText"/>
        <w:tabs>
          <w:tab w:val="left" w:pos="3952"/>
        </w:tabs>
        <w:spacing w:line="252" w:lineRule="exact"/>
        <w:ind w:left="1072"/>
      </w:pPr>
      <w:r>
        <w:t>Hazardous</w:t>
      </w:r>
      <w:r>
        <w:rPr>
          <w:spacing w:val="-1"/>
        </w:rPr>
        <w:t xml:space="preserve"> </w:t>
      </w:r>
      <w:r>
        <w:t>property</w:t>
      </w:r>
      <w:r>
        <w:tab/>
        <w:t>: Projected value is low in normal</w:t>
      </w:r>
      <w:r>
        <w:rPr>
          <w:spacing w:val="-42"/>
        </w:rPr>
        <w:t xml:space="preserve"> </w:t>
      </w:r>
      <w:r>
        <w:t>use.</w:t>
      </w:r>
    </w:p>
    <w:p w14:paraId="28A7F319" w14:textId="77777777" w:rsidR="00782F68" w:rsidRDefault="00782F68">
      <w:pPr>
        <w:pStyle w:val="BodyText"/>
        <w:rPr>
          <w:sz w:val="24"/>
        </w:rPr>
      </w:pPr>
    </w:p>
    <w:p w14:paraId="4E25D116" w14:textId="77777777" w:rsidR="00782F68" w:rsidRDefault="00270A6D">
      <w:pPr>
        <w:pStyle w:val="Heading1"/>
        <w:jc w:val="left"/>
        <w:rPr>
          <w:u w:val="none"/>
        </w:rPr>
      </w:pPr>
      <w:r>
        <w:t>First Aid Measures</w:t>
      </w:r>
    </w:p>
    <w:p w14:paraId="1BD30C04" w14:textId="77777777" w:rsidR="00782F68" w:rsidRDefault="00782F68">
      <w:pPr>
        <w:pStyle w:val="BodyText"/>
        <w:spacing w:before="11"/>
        <w:rPr>
          <w:sz w:val="18"/>
        </w:rPr>
      </w:pPr>
    </w:p>
    <w:p w14:paraId="0A80B2D3" w14:textId="77777777" w:rsidR="00782F68" w:rsidRDefault="00270A6D">
      <w:pPr>
        <w:pStyle w:val="BodyText"/>
        <w:spacing w:before="94"/>
        <w:ind w:left="112" w:right="191"/>
      </w:pPr>
      <w:r>
        <w:t xml:space="preserve">In case of eye </w:t>
      </w:r>
      <w:proofErr w:type="gramStart"/>
      <w:r>
        <w:t>contact :</w:t>
      </w:r>
      <w:proofErr w:type="gramEnd"/>
      <w:r>
        <w:t xml:space="preserve"> Immediately flush eyes with copious of water at least 15 minutes and seek medical attention.</w:t>
      </w:r>
    </w:p>
    <w:p w14:paraId="0658F311" w14:textId="77777777" w:rsidR="00782F68" w:rsidRDefault="00270A6D">
      <w:pPr>
        <w:pStyle w:val="BodyText"/>
        <w:tabs>
          <w:tab w:val="left" w:pos="2505"/>
          <w:tab w:val="left" w:pos="2738"/>
        </w:tabs>
        <w:ind w:left="112" w:right="4061"/>
      </w:pPr>
      <w:r>
        <w:t>In case of</w:t>
      </w:r>
      <w:r>
        <w:rPr>
          <w:spacing w:val="-3"/>
        </w:rPr>
        <w:t xml:space="preserve"> </w:t>
      </w:r>
      <w:r>
        <w:t>skin</w:t>
      </w:r>
      <w:r>
        <w:rPr>
          <w:spacing w:val="-3"/>
        </w:rPr>
        <w:t xml:space="preserve"> </w:t>
      </w:r>
      <w:r>
        <w:t>contact</w:t>
      </w:r>
      <w:r>
        <w:tab/>
        <w:t xml:space="preserve">: Wash thoroughly with soap and </w:t>
      </w:r>
      <w:r>
        <w:rPr>
          <w:spacing w:val="-3"/>
        </w:rPr>
        <w:t xml:space="preserve">water. </w:t>
      </w:r>
      <w:r>
        <w:t xml:space="preserve">If </w:t>
      </w:r>
      <w:proofErr w:type="gramStart"/>
      <w:r>
        <w:t>inhaled  :</w:t>
      </w:r>
      <w:proofErr w:type="gramEnd"/>
      <w:r>
        <w:t xml:space="preserve"> </w:t>
      </w:r>
      <w:r>
        <w:rPr>
          <w:spacing w:val="42"/>
        </w:rPr>
        <w:t xml:space="preserve"> </w:t>
      </w:r>
      <w:r>
        <w:t>Gargle</w:t>
      </w:r>
      <w:r>
        <w:rPr>
          <w:spacing w:val="-2"/>
        </w:rPr>
        <w:t xml:space="preserve"> </w:t>
      </w:r>
      <w:r>
        <w:t>well.</w:t>
      </w:r>
      <w:r>
        <w:tab/>
        <w:t>Seek medical attention, if</w:t>
      </w:r>
      <w:r>
        <w:rPr>
          <w:spacing w:val="1"/>
        </w:rPr>
        <w:t xml:space="preserve"> </w:t>
      </w:r>
      <w:r>
        <w:rPr>
          <w:spacing w:val="-3"/>
        </w:rPr>
        <w:t>necessary.</w:t>
      </w:r>
    </w:p>
    <w:p w14:paraId="1D717F50" w14:textId="77777777" w:rsidR="00782F68" w:rsidRDefault="00270A6D">
      <w:pPr>
        <w:pStyle w:val="BodyText"/>
        <w:tabs>
          <w:tab w:val="left" w:pos="9086"/>
        </w:tabs>
        <w:ind w:left="112" w:right="191"/>
      </w:pPr>
      <w:proofErr w:type="gramStart"/>
      <w:r>
        <w:t>If  swallowed</w:t>
      </w:r>
      <w:proofErr w:type="gramEnd"/>
      <w:r>
        <w:t xml:space="preserve">  :  Induce  </w:t>
      </w:r>
      <w:proofErr w:type="spellStart"/>
      <w:r>
        <w:t>vommiting</w:t>
      </w:r>
      <w:proofErr w:type="spellEnd"/>
      <w:r>
        <w:t xml:space="preserve">  by  giving  some  water  and  rinse  out </w:t>
      </w:r>
      <w:r>
        <w:rPr>
          <w:spacing w:val="33"/>
        </w:rPr>
        <w:t xml:space="preserve"> </w:t>
      </w:r>
      <w:r>
        <w:t>one’s</w:t>
      </w:r>
      <w:r>
        <w:rPr>
          <w:spacing w:val="57"/>
        </w:rPr>
        <w:t xml:space="preserve"> </w:t>
      </w:r>
      <w:r>
        <w:t>mouth.</w:t>
      </w:r>
      <w:r>
        <w:tab/>
        <w:t xml:space="preserve">Get </w:t>
      </w:r>
      <w:r>
        <w:rPr>
          <w:spacing w:val="-4"/>
        </w:rPr>
        <w:t xml:space="preserve">medical </w:t>
      </w:r>
      <w:r>
        <w:t>attention.</w:t>
      </w:r>
    </w:p>
    <w:p w14:paraId="262DD304" w14:textId="77777777" w:rsidR="00782F68" w:rsidRDefault="00782F68">
      <w:pPr>
        <w:pStyle w:val="BodyText"/>
        <w:spacing w:before="1"/>
        <w:rPr>
          <w:sz w:val="24"/>
        </w:rPr>
      </w:pPr>
    </w:p>
    <w:p w14:paraId="470507B6" w14:textId="77777777" w:rsidR="00782F68" w:rsidRDefault="00270A6D">
      <w:pPr>
        <w:pStyle w:val="Heading1"/>
        <w:jc w:val="left"/>
        <w:rPr>
          <w:u w:val="none"/>
        </w:rPr>
      </w:pPr>
      <w:r>
        <w:t>Fire Fighting Measures</w:t>
      </w:r>
    </w:p>
    <w:p w14:paraId="2705A0FE" w14:textId="77777777" w:rsidR="00782F68" w:rsidRDefault="00270A6D">
      <w:pPr>
        <w:pStyle w:val="BodyText"/>
        <w:spacing w:before="185"/>
        <w:ind w:left="112" w:right="191"/>
      </w:pPr>
      <w:r>
        <w:t xml:space="preserve">Special fire fighting </w:t>
      </w:r>
      <w:proofErr w:type="gramStart"/>
      <w:r>
        <w:t>measures :</w:t>
      </w:r>
      <w:proofErr w:type="gramEnd"/>
      <w:r>
        <w:t xml:space="preserve"> Cut </w:t>
      </w:r>
      <w:r>
        <w:rPr>
          <w:spacing w:val="-3"/>
        </w:rPr>
        <w:t xml:space="preserve">off </w:t>
      </w:r>
      <w:r>
        <w:t>the source of fire and fight the fire using extinguishing media. Fight chemical fires from the windward side, wearing full protective</w:t>
      </w:r>
      <w:r>
        <w:rPr>
          <w:spacing w:val="-12"/>
        </w:rPr>
        <w:t xml:space="preserve"> </w:t>
      </w:r>
      <w:r>
        <w:t>clothing.</w:t>
      </w:r>
    </w:p>
    <w:p w14:paraId="1DFDFBE1" w14:textId="77777777" w:rsidR="00782F68" w:rsidRDefault="00270A6D">
      <w:pPr>
        <w:pStyle w:val="BodyText"/>
        <w:spacing w:line="251" w:lineRule="exact"/>
        <w:ind w:left="112"/>
      </w:pPr>
      <w:r>
        <w:t xml:space="preserve">Extinguishing </w:t>
      </w:r>
      <w:proofErr w:type="gramStart"/>
      <w:r>
        <w:t>Media :</w:t>
      </w:r>
      <w:proofErr w:type="gramEnd"/>
      <w:r>
        <w:t xml:space="preserve"> </w:t>
      </w:r>
      <w:r>
        <w:rPr>
          <w:spacing w:val="-3"/>
        </w:rPr>
        <w:t xml:space="preserve">Powder, </w:t>
      </w:r>
      <w:r>
        <w:t>foam, carbon dioxide, sand and</w:t>
      </w:r>
      <w:r>
        <w:rPr>
          <w:spacing w:val="51"/>
        </w:rPr>
        <w:t xml:space="preserve"> </w:t>
      </w:r>
      <w:r>
        <w:rPr>
          <w:spacing w:val="-3"/>
        </w:rPr>
        <w:t>water.</w:t>
      </w:r>
    </w:p>
    <w:p w14:paraId="33B4A4C8" w14:textId="77777777" w:rsidR="00782F68" w:rsidRDefault="00782F68">
      <w:pPr>
        <w:spacing w:line="251" w:lineRule="exact"/>
        <w:sectPr w:rsidR="00782F68">
          <w:type w:val="continuous"/>
          <w:pgSz w:w="11910" w:h="16850"/>
          <w:pgMar w:top="620" w:right="680" w:bottom="280" w:left="740" w:header="720" w:footer="720" w:gutter="0"/>
          <w:cols w:space="720"/>
        </w:sectPr>
      </w:pPr>
    </w:p>
    <w:p w14:paraId="34224F6B" w14:textId="77777777" w:rsidR="00782F68" w:rsidRDefault="00270A6D">
      <w:pPr>
        <w:pStyle w:val="Heading1"/>
        <w:spacing w:before="77"/>
        <w:jc w:val="left"/>
        <w:rPr>
          <w:u w:val="none"/>
        </w:rPr>
      </w:pPr>
      <w:r>
        <w:lastRenderedPageBreak/>
        <w:t>Accidental Release Measures</w:t>
      </w:r>
    </w:p>
    <w:p w14:paraId="234D8FA5" w14:textId="77777777" w:rsidR="00782F68" w:rsidRDefault="00782F68">
      <w:pPr>
        <w:pStyle w:val="BodyText"/>
        <w:rPr>
          <w:sz w:val="19"/>
        </w:rPr>
      </w:pPr>
    </w:p>
    <w:p w14:paraId="718C6343" w14:textId="77777777" w:rsidR="00782F68" w:rsidRDefault="00270A6D">
      <w:pPr>
        <w:pStyle w:val="BodyText"/>
        <w:spacing w:before="93" w:line="252" w:lineRule="exact"/>
        <w:ind w:left="112"/>
      </w:pPr>
      <w:r>
        <w:t>Must wear protective equipment including goggles and rubber gloves.</w:t>
      </w:r>
    </w:p>
    <w:p w14:paraId="31C8F5A1" w14:textId="77777777" w:rsidR="00782F68" w:rsidRDefault="00270A6D">
      <w:pPr>
        <w:pStyle w:val="BodyText"/>
        <w:spacing w:line="252" w:lineRule="exact"/>
        <w:ind w:left="112"/>
      </w:pPr>
      <w:r>
        <w:t>Absorb onto sawdust, wiping rags or sand, and collect them into empty containers.</w:t>
      </w:r>
    </w:p>
    <w:p w14:paraId="0583F7BC" w14:textId="77777777" w:rsidR="00782F68" w:rsidRDefault="00270A6D">
      <w:pPr>
        <w:pStyle w:val="BodyText"/>
        <w:spacing w:before="2"/>
        <w:ind w:left="112"/>
      </w:pPr>
      <w:r>
        <w:t>In event of major spill, dike area with earth and sand to prevent spreading and collect them into empty container as much as possible.</w:t>
      </w:r>
    </w:p>
    <w:p w14:paraId="32C39D65" w14:textId="77777777" w:rsidR="00782F68" w:rsidRDefault="00270A6D">
      <w:pPr>
        <w:pStyle w:val="BodyText"/>
        <w:ind w:left="112" w:right="191"/>
      </w:pPr>
      <w:r>
        <w:t>In that case, extreme caution must be taken not to discharge them into rivers, lakes and marshes, oceans and sewerage</w:t>
      </w:r>
      <w:r>
        <w:rPr>
          <w:spacing w:val="-4"/>
        </w:rPr>
        <w:t xml:space="preserve"> </w:t>
      </w:r>
      <w:r>
        <w:t>systems.</w:t>
      </w:r>
    </w:p>
    <w:p w14:paraId="157A0B14" w14:textId="77777777" w:rsidR="00782F68" w:rsidRDefault="00782F68">
      <w:pPr>
        <w:pStyle w:val="BodyText"/>
        <w:spacing w:before="1"/>
        <w:rPr>
          <w:sz w:val="24"/>
        </w:rPr>
      </w:pPr>
      <w:bookmarkStart w:id="0" w:name="_GoBack"/>
      <w:bookmarkEnd w:id="0"/>
    </w:p>
    <w:p w14:paraId="0607BA83" w14:textId="77777777" w:rsidR="00782F68" w:rsidRDefault="00270A6D">
      <w:pPr>
        <w:pStyle w:val="Heading1"/>
        <w:jc w:val="left"/>
        <w:rPr>
          <w:u w:val="none"/>
        </w:rPr>
      </w:pPr>
      <w:r>
        <w:t xml:space="preserve">Handling and Storage </w:t>
      </w:r>
      <w:proofErr w:type="spellStart"/>
      <w:r>
        <w:t>Precations</w:t>
      </w:r>
      <w:proofErr w:type="spellEnd"/>
    </w:p>
    <w:p w14:paraId="718AE890" w14:textId="77777777" w:rsidR="00782F68" w:rsidRDefault="00270A6D">
      <w:pPr>
        <w:pStyle w:val="BodyText"/>
        <w:spacing w:before="182"/>
        <w:ind w:left="112" w:right="169"/>
        <w:jc w:val="both"/>
      </w:pPr>
      <w:proofErr w:type="gramStart"/>
      <w:r>
        <w:t>Handling :</w:t>
      </w:r>
      <w:proofErr w:type="gramEnd"/>
      <w:r>
        <w:t xml:space="preserve"> Wear protective gears like goggles and rubber gloves. </w:t>
      </w:r>
      <w:r>
        <w:rPr>
          <w:spacing w:val="-3"/>
        </w:rPr>
        <w:t xml:space="preserve">Avoid </w:t>
      </w:r>
      <w:r>
        <w:t>rough handling such as overturning, dropping, impacting and dragging the containers. Provide adequate ventilation in work areas. Wear protective clothing and gears to avoid skin</w:t>
      </w:r>
      <w:r>
        <w:rPr>
          <w:spacing w:val="-41"/>
        </w:rPr>
        <w:t xml:space="preserve"> </w:t>
      </w:r>
      <w:r>
        <w:t>contact.</w:t>
      </w:r>
    </w:p>
    <w:p w14:paraId="7908C642" w14:textId="77777777" w:rsidR="00782F68" w:rsidRDefault="00270A6D">
      <w:pPr>
        <w:pStyle w:val="BodyText"/>
        <w:spacing w:line="252" w:lineRule="exact"/>
        <w:ind w:left="112"/>
        <w:jc w:val="both"/>
      </w:pPr>
      <w:proofErr w:type="gramStart"/>
      <w:r>
        <w:t>Storage :</w:t>
      </w:r>
      <w:proofErr w:type="gramEnd"/>
      <w:r>
        <w:t xml:space="preserve"> Keep tightly sealed and stored. Avoid direct sunlight and store at normal room temperature</w:t>
      </w:r>
    </w:p>
    <w:p w14:paraId="60AACC2F" w14:textId="77777777" w:rsidR="00782F68" w:rsidRDefault="00270A6D">
      <w:pPr>
        <w:pStyle w:val="BodyText"/>
        <w:spacing w:before="5"/>
        <w:ind w:left="112"/>
        <w:jc w:val="both"/>
      </w:pPr>
      <w:r>
        <w:rPr>
          <w:rFonts w:ascii="AoyagiKouzanFontT" w:eastAsia="AoyagiKouzanFontT" w:hint="eastAsia"/>
          <w:w w:val="50"/>
        </w:rPr>
        <w:t>（</w:t>
      </w:r>
      <w:r>
        <w:t>30 d</w:t>
      </w:r>
      <w:r>
        <w:rPr>
          <w:spacing w:val="-4"/>
        </w:rPr>
        <w:t>e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s</w:t>
      </w:r>
      <w:r>
        <w:rPr>
          <w:spacing w:val="2"/>
        </w:rPr>
        <w:t xml:space="preserve"> </w:t>
      </w:r>
      <w:r>
        <w:t>ce</w:t>
      </w:r>
      <w:r>
        <w:rPr>
          <w:spacing w:val="-4"/>
        </w:rPr>
        <w:t>n</w:t>
      </w:r>
      <w:r>
        <w:t>t</w:t>
      </w:r>
      <w:r>
        <w:rPr>
          <w:spacing w:val="-2"/>
        </w:rPr>
        <w:t>i</w:t>
      </w:r>
      <w:r>
        <w:t>grade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 be</w:t>
      </w:r>
      <w:r>
        <w:rPr>
          <w:spacing w:val="-2"/>
        </w:rPr>
        <w:t>l</w:t>
      </w:r>
      <w:r>
        <w:t>o</w:t>
      </w:r>
      <w:r>
        <w:rPr>
          <w:spacing w:val="-4"/>
        </w:rPr>
        <w:t>w</w:t>
      </w:r>
      <w:r>
        <w:rPr>
          <w:rFonts w:ascii="AoyagiKouzanFontT" w:eastAsia="AoyagiKouzanFontT" w:hint="eastAsia"/>
          <w:w w:val="50"/>
        </w:rPr>
        <w:t>）</w:t>
      </w:r>
      <w:r>
        <w:t>.</w:t>
      </w:r>
    </w:p>
    <w:p w14:paraId="13680ACF" w14:textId="77777777" w:rsidR="00782F68" w:rsidRDefault="00782F68">
      <w:pPr>
        <w:pStyle w:val="BodyText"/>
        <w:spacing w:before="1"/>
        <w:rPr>
          <w:sz w:val="24"/>
        </w:rPr>
      </w:pPr>
    </w:p>
    <w:p w14:paraId="1973519C" w14:textId="77777777" w:rsidR="00782F68" w:rsidRDefault="00270A6D">
      <w:pPr>
        <w:pStyle w:val="Heading1"/>
        <w:rPr>
          <w:u w:val="none"/>
        </w:rPr>
      </w:pPr>
      <w:r>
        <w:t>Exposure Controls</w:t>
      </w:r>
    </w:p>
    <w:p w14:paraId="780EA02A" w14:textId="77777777" w:rsidR="00782F68" w:rsidRDefault="00270A6D">
      <w:pPr>
        <w:pStyle w:val="BodyText"/>
        <w:spacing w:before="185"/>
        <w:ind w:left="112" w:right="5622"/>
      </w:pPr>
      <w:r>
        <w:t xml:space="preserve">Standard control </w:t>
      </w:r>
      <w:proofErr w:type="gramStart"/>
      <w:r>
        <w:t>concentration :</w:t>
      </w:r>
      <w:proofErr w:type="gramEnd"/>
      <w:r>
        <w:t xml:space="preserve"> Not established Allowable concentration : -----</w:t>
      </w:r>
    </w:p>
    <w:p w14:paraId="64236AEF" w14:textId="77777777" w:rsidR="00782F68" w:rsidRDefault="00270A6D">
      <w:pPr>
        <w:pStyle w:val="BodyText"/>
        <w:ind w:left="112" w:right="191"/>
      </w:pPr>
      <w:r>
        <w:t xml:space="preserve">Facility </w:t>
      </w:r>
      <w:proofErr w:type="gramStart"/>
      <w:r>
        <w:t>measures :</w:t>
      </w:r>
      <w:proofErr w:type="gramEnd"/>
      <w:r>
        <w:t xml:space="preserve"> None special facility measure is required when adequate ventilation and an </w:t>
      </w:r>
      <w:proofErr w:type="spellStart"/>
      <w:r>
        <w:t>eyewashing</w:t>
      </w:r>
      <w:proofErr w:type="spellEnd"/>
      <w:r>
        <w:t xml:space="preserve"> device are provided.</w:t>
      </w:r>
    </w:p>
    <w:p w14:paraId="3DCA4072" w14:textId="77777777" w:rsidR="00782F68" w:rsidRDefault="00270A6D">
      <w:pPr>
        <w:pStyle w:val="BodyText"/>
        <w:spacing w:line="251" w:lineRule="exact"/>
        <w:ind w:left="112"/>
      </w:pPr>
      <w:r>
        <w:t xml:space="preserve">Protective </w:t>
      </w:r>
      <w:proofErr w:type="gramStart"/>
      <w:r>
        <w:t>equipment :</w:t>
      </w:r>
      <w:proofErr w:type="gramEnd"/>
      <w:r>
        <w:t xml:space="preserve"> Wear face mask, protective goggles, protective gloves and safety boots.</w:t>
      </w:r>
    </w:p>
    <w:p w14:paraId="1317254A" w14:textId="77777777" w:rsidR="00782F68" w:rsidRDefault="00782F68">
      <w:pPr>
        <w:pStyle w:val="BodyText"/>
        <w:spacing w:before="2"/>
        <w:rPr>
          <w:sz w:val="24"/>
        </w:rPr>
      </w:pPr>
    </w:p>
    <w:p w14:paraId="79FE537B" w14:textId="77777777" w:rsidR="00782F68" w:rsidRDefault="00270A6D">
      <w:pPr>
        <w:pStyle w:val="Heading1"/>
        <w:rPr>
          <w:u w:val="none"/>
        </w:rPr>
      </w:pPr>
      <w:r>
        <w:t>Physical/Chemical Properties</w:t>
      </w:r>
    </w:p>
    <w:p w14:paraId="2CD5A074" w14:textId="77777777" w:rsidR="00782F68" w:rsidRDefault="00270A6D">
      <w:pPr>
        <w:pStyle w:val="BodyText"/>
        <w:spacing w:before="183"/>
        <w:ind w:left="1072" w:right="2308"/>
      </w:pPr>
      <w:r>
        <w:t xml:space="preserve">Appearance and </w:t>
      </w:r>
      <w:proofErr w:type="gramStart"/>
      <w:r>
        <w:t>odor :</w:t>
      </w:r>
      <w:proofErr w:type="gramEnd"/>
      <w:r>
        <w:t xml:space="preserve"> Translucent white liquid with inherent odor. Boiling </w:t>
      </w:r>
      <w:proofErr w:type="gramStart"/>
      <w:r>
        <w:t>point :</w:t>
      </w:r>
      <w:proofErr w:type="gramEnd"/>
      <w:r>
        <w:t xml:space="preserve"> (water-soluble)</w:t>
      </w:r>
    </w:p>
    <w:p w14:paraId="1A7944E8" w14:textId="77777777" w:rsidR="00782F68" w:rsidRDefault="00270A6D">
      <w:pPr>
        <w:pStyle w:val="BodyText"/>
        <w:ind w:left="1072"/>
      </w:pPr>
      <w:proofErr w:type="gramStart"/>
      <w:r>
        <w:t>Volatility :</w:t>
      </w:r>
      <w:proofErr w:type="gramEnd"/>
      <w:r>
        <w:t xml:space="preserve"> Not shown</w:t>
      </w:r>
    </w:p>
    <w:p w14:paraId="395525B0" w14:textId="77777777" w:rsidR="00782F68" w:rsidRDefault="00270A6D">
      <w:pPr>
        <w:pStyle w:val="BodyText"/>
        <w:spacing w:before="1"/>
        <w:ind w:left="1072" w:right="5622"/>
      </w:pPr>
      <w:r>
        <w:t xml:space="preserve">Melting </w:t>
      </w:r>
      <w:proofErr w:type="gramStart"/>
      <w:r>
        <w:t>point :</w:t>
      </w:r>
      <w:proofErr w:type="gramEnd"/>
      <w:r>
        <w:t xml:space="preserve"> (water solution) Solubility in water : Soluble in water The others : pH 7</w:t>
      </w:r>
    </w:p>
    <w:p w14:paraId="1293ADA0" w14:textId="77777777" w:rsidR="00782F68" w:rsidRDefault="00782F68">
      <w:pPr>
        <w:pStyle w:val="BodyText"/>
        <w:rPr>
          <w:sz w:val="24"/>
        </w:rPr>
      </w:pPr>
    </w:p>
    <w:p w14:paraId="4678A10D" w14:textId="77777777" w:rsidR="00782F68" w:rsidRDefault="00270A6D">
      <w:pPr>
        <w:pStyle w:val="Heading1"/>
        <w:rPr>
          <w:u w:val="none"/>
        </w:rPr>
      </w:pPr>
      <w:r>
        <w:t>Stability and Reactivity</w:t>
      </w:r>
    </w:p>
    <w:p w14:paraId="1CC745F8" w14:textId="77777777" w:rsidR="00782F68" w:rsidRDefault="00270A6D">
      <w:pPr>
        <w:pStyle w:val="BodyText"/>
        <w:spacing w:before="185"/>
        <w:ind w:left="1072"/>
      </w:pPr>
      <w:r>
        <w:t xml:space="preserve">Stability and </w:t>
      </w:r>
      <w:proofErr w:type="gramStart"/>
      <w:r>
        <w:t>Reactivity :</w:t>
      </w:r>
      <w:proofErr w:type="gramEnd"/>
      <w:r>
        <w:t xml:space="preserve"> Stable with normal handling.</w:t>
      </w:r>
    </w:p>
    <w:p w14:paraId="23D3F132" w14:textId="77777777" w:rsidR="00782F68" w:rsidRDefault="00782F68">
      <w:pPr>
        <w:pStyle w:val="BodyText"/>
        <w:spacing w:before="10"/>
        <w:rPr>
          <w:sz w:val="21"/>
        </w:rPr>
      </w:pPr>
    </w:p>
    <w:p w14:paraId="14D8C430" w14:textId="77777777" w:rsidR="00782F68" w:rsidRDefault="00270A6D">
      <w:pPr>
        <w:pStyle w:val="Heading1"/>
        <w:rPr>
          <w:u w:val="none"/>
        </w:rPr>
      </w:pPr>
      <w:r>
        <w:t>Toxicological Information</w:t>
      </w:r>
    </w:p>
    <w:p w14:paraId="5AEB21AE" w14:textId="77777777" w:rsidR="00782F68" w:rsidRDefault="00270A6D">
      <w:pPr>
        <w:pStyle w:val="BodyText"/>
        <w:spacing w:before="184" w:line="256" w:lineRule="exact"/>
        <w:ind w:left="1072"/>
      </w:pPr>
      <w:r>
        <w:rPr>
          <w:position w:val="2"/>
        </w:rPr>
        <w:t xml:space="preserve">Acute </w:t>
      </w:r>
      <w:proofErr w:type="gramStart"/>
      <w:r>
        <w:rPr>
          <w:position w:val="2"/>
        </w:rPr>
        <w:t>toxicity :</w:t>
      </w:r>
      <w:proofErr w:type="gramEnd"/>
      <w:r>
        <w:rPr>
          <w:position w:val="2"/>
        </w:rPr>
        <w:t xml:space="preserve"> Oral LD</w:t>
      </w:r>
      <w:r>
        <w:rPr>
          <w:sz w:val="14"/>
        </w:rPr>
        <w:t xml:space="preserve">50 </w:t>
      </w:r>
      <w:r>
        <w:rPr>
          <w:position w:val="2"/>
        </w:rPr>
        <w:t>Rat:&gt; 10,000 mg/kg</w:t>
      </w:r>
    </w:p>
    <w:p w14:paraId="0977EB8D" w14:textId="77777777" w:rsidR="00782F68" w:rsidRDefault="00270A6D">
      <w:pPr>
        <w:pStyle w:val="BodyText"/>
        <w:ind w:left="1072" w:right="523"/>
      </w:pPr>
      <w:r>
        <w:t>Local effects (skin, eye etc.</w:t>
      </w:r>
      <w:proofErr w:type="gramStart"/>
      <w:r>
        <w:t>) :</w:t>
      </w:r>
      <w:proofErr w:type="gramEnd"/>
      <w:r>
        <w:t xml:space="preserve"> Not irritative against skin and eye in the case of rabbit. </w:t>
      </w:r>
      <w:proofErr w:type="gramStart"/>
      <w:r>
        <w:t>Acridity :</w:t>
      </w:r>
      <w:proofErr w:type="gramEnd"/>
      <w:r>
        <w:t xml:space="preserve"> Negative when in-house patch test was conducted.</w:t>
      </w:r>
    </w:p>
    <w:p w14:paraId="589443CF" w14:textId="77777777" w:rsidR="00782F68" w:rsidRDefault="00270A6D">
      <w:pPr>
        <w:pStyle w:val="BodyText"/>
        <w:ind w:left="1072" w:right="5622"/>
      </w:pPr>
      <w:r>
        <w:t xml:space="preserve">Chronic </w:t>
      </w:r>
      <w:proofErr w:type="gramStart"/>
      <w:r>
        <w:t>toxicity :</w:t>
      </w:r>
      <w:proofErr w:type="gramEnd"/>
      <w:r>
        <w:t xml:space="preserve"> Not available Mutagenicity : Ames Test: Negative</w:t>
      </w:r>
    </w:p>
    <w:p w14:paraId="4AFA2FE5" w14:textId="77777777" w:rsidR="00782F68" w:rsidRDefault="00782F68">
      <w:pPr>
        <w:pStyle w:val="BodyText"/>
        <w:spacing w:before="10"/>
        <w:rPr>
          <w:sz w:val="23"/>
        </w:rPr>
      </w:pPr>
    </w:p>
    <w:p w14:paraId="7B0C39E8" w14:textId="77777777" w:rsidR="00782F68" w:rsidRDefault="00270A6D">
      <w:pPr>
        <w:pStyle w:val="Heading1"/>
        <w:rPr>
          <w:u w:val="none"/>
        </w:rPr>
      </w:pPr>
      <w:r>
        <w:t>Disposal Considerations</w:t>
      </w:r>
    </w:p>
    <w:p w14:paraId="1F1671B1" w14:textId="77777777" w:rsidR="00782F68" w:rsidRDefault="00270A6D">
      <w:pPr>
        <w:pStyle w:val="BodyText"/>
        <w:spacing w:before="184"/>
        <w:ind w:left="1072"/>
      </w:pPr>
      <w:r>
        <w:t xml:space="preserve">Commission the disposal to licensed </w:t>
      </w:r>
      <w:proofErr w:type="spellStart"/>
      <w:r>
        <w:t>hazadous</w:t>
      </w:r>
      <w:proofErr w:type="spellEnd"/>
      <w:r>
        <w:t xml:space="preserve"> waste disposal firms</w:t>
      </w:r>
    </w:p>
    <w:p w14:paraId="3B14693F" w14:textId="77777777" w:rsidR="00782F68" w:rsidRDefault="00782F68">
      <w:pPr>
        <w:pStyle w:val="BodyText"/>
        <w:rPr>
          <w:sz w:val="24"/>
        </w:rPr>
      </w:pPr>
    </w:p>
    <w:p w14:paraId="1916567A" w14:textId="77777777" w:rsidR="00782F68" w:rsidRDefault="00270A6D">
      <w:pPr>
        <w:pStyle w:val="Heading1"/>
        <w:rPr>
          <w:u w:val="none"/>
        </w:rPr>
      </w:pPr>
      <w:r>
        <w:t>Transport Information</w:t>
      </w:r>
    </w:p>
    <w:p w14:paraId="09004FD4" w14:textId="77777777" w:rsidR="00782F68" w:rsidRDefault="00782F68">
      <w:pPr>
        <w:pStyle w:val="BodyText"/>
        <w:spacing w:before="10"/>
        <w:rPr>
          <w:sz w:val="15"/>
        </w:rPr>
      </w:pPr>
    </w:p>
    <w:p w14:paraId="6C0332C2" w14:textId="77777777" w:rsidR="00782F68" w:rsidRDefault="00270A6D">
      <w:pPr>
        <w:spacing w:before="93"/>
        <w:ind w:left="112" w:right="168"/>
        <w:jc w:val="both"/>
        <w:rPr>
          <w:sz w:val="20"/>
        </w:rPr>
      </w:pPr>
      <w:r>
        <w:t xml:space="preserve">When transporting, make certain that there is no leakage from containers, load them not to be dropped, overturned and damaged, and surely prevent cargo shifting. Said </w:t>
      </w:r>
      <w:r>
        <w:rPr>
          <w:sz w:val="20"/>
        </w:rPr>
        <w:t xml:space="preserve">item is not restricted and is not regulated as per </w:t>
      </w:r>
      <w:r>
        <w:rPr>
          <w:spacing w:val="-7"/>
          <w:sz w:val="20"/>
        </w:rPr>
        <w:t xml:space="preserve">IATA </w:t>
      </w:r>
      <w:r>
        <w:rPr>
          <w:sz w:val="20"/>
        </w:rPr>
        <w:t>and no special provisions is needed whilst</w:t>
      </w:r>
      <w:r>
        <w:rPr>
          <w:spacing w:val="-4"/>
          <w:sz w:val="20"/>
        </w:rPr>
        <w:t xml:space="preserve"> </w:t>
      </w:r>
      <w:r>
        <w:rPr>
          <w:sz w:val="20"/>
        </w:rPr>
        <w:t>handling.</w:t>
      </w:r>
    </w:p>
    <w:p w14:paraId="51BF25E6" w14:textId="77777777" w:rsidR="00782F68" w:rsidRDefault="00782F68">
      <w:pPr>
        <w:pStyle w:val="BodyText"/>
      </w:pPr>
    </w:p>
    <w:p w14:paraId="2D1DD846" w14:textId="77777777" w:rsidR="00782F68" w:rsidRDefault="00270A6D">
      <w:pPr>
        <w:pStyle w:val="BodyText"/>
        <w:ind w:left="112"/>
        <w:jc w:val="both"/>
      </w:pPr>
      <w:r>
        <w:t>ADG Code</w:t>
      </w:r>
    </w:p>
    <w:p w14:paraId="6CFEC899" w14:textId="77777777" w:rsidR="00782F68" w:rsidRDefault="00782F68">
      <w:pPr>
        <w:pStyle w:val="BodyText"/>
      </w:pPr>
    </w:p>
    <w:p w14:paraId="05628741" w14:textId="77777777" w:rsidR="00782F68" w:rsidRDefault="00270A6D">
      <w:pPr>
        <w:pStyle w:val="BodyText"/>
        <w:tabs>
          <w:tab w:val="left" w:pos="4672"/>
        </w:tabs>
        <w:spacing w:before="1"/>
        <w:ind w:left="112"/>
      </w:pPr>
      <w:r>
        <w:t>UN</w:t>
      </w:r>
      <w:r>
        <w:rPr>
          <w:spacing w:val="-1"/>
        </w:rPr>
        <w:t xml:space="preserve"> </w:t>
      </w:r>
      <w:r>
        <w:t>number</w:t>
      </w:r>
      <w:r>
        <w:tab/>
        <w:t>Not</w:t>
      </w:r>
      <w:r>
        <w:rPr>
          <w:spacing w:val="-4"/>
        </w:rPr>
        <w:t xml:space="preserve"> </w:t>
      </w:r>
      <w:r>
        <w:t>applicable</w:t>
      </w:r>
    </w:p>
    <w:p w14:paraId="2FEB6ADB" w14:textId="77777777" w:rsidR="00782F68" w:rsidRDefault="00270A6D">
      <w:pPr>
        <w:pStyle w:val="BodyText"/>
        <w:tabs>
          <w:tab w:val="left" w:pos="4672"/>
        </w:tabs>
        <w:spacing w:before="1" w:line="252" w:lineRule="exact"/>
        <w:ind w:left="112"/>
      </w:pPr>
      <w:r>
        <w:t>Class</w:t>
      </w:r>
      <w:r>
        <w:tab/>
        <w:t>Not</w:t>
      </w:r>
      <w:r>
        <w:rPr>
          <w:spacing w:val="-5"/>
        </w:rPr>
        <w:t xml:space="preserve"> </w:t>
      </w:r>
      <w:r>
        <w:t>applicable</w:t>
      </w:r>
    </w:p>
    <w:p w14:paraId="756F2DC5" w14:textId="77777777" w:rsidR="00782F68" w:rsidRDefault="00270A6D">
      <w:pPr>
        <w:pStyle w:val="BodyText"/>
        <w:spacing w:line="252" w:lineRule="exact"/>
        <w:ind w:left="112"/>
      </w:pPr>
      <w:r>
        <w:t>Packing Group</w:t>
      </w:r>
    </w:p>
    <w:p w14:paraId="453BD314" w14:textId="77777777" w:rsidR="00782F68" w:rsidRDefault="00782F68">
      <w:pPr>
        <w:spacing w:line="252" w:lineRule="exact"/>
        <w:sectPr w:rsidR="00782F68">
          <w:pgSz w:w="11910" w:h="16850"/>
          <w:pgMar w:top="580" w:right="680" w:bottom="280" w:left="740" w:header="720" w:footer="720" w:gutter="0"/>
          <w:cols w:space="720"/>
        </w:sectPr>
      </w:pPr>
    </w:p>
    <w:p w14:paraId="231D917D" w14:textId="77777777" w:rsidR="00782F68" w:rsidRDefault="00270A6D">
      <w:pPr>
        <w:pStyle w:val="BodyText"/>
        <w:tabs>
          <w:tab w:val="left" w:pos="4672"/>
        </w:tabs>
        <w:spacing w:before="77" w:line="252" w:lineRule="exact"/>
        <w:ind w:left="112"/>
      </w:pPr>
      <w:r>
        <w:lastRenderedPageBreak/>
        <w:t>Hazchem</w:t>
      </w:r>
      <w:r>
        <w:rPr>
          <w:spacing w:val="-1"/>
        </w:rPr>
        <w:t xml:space="preserve"> </w:t>
      </w:r>
      <w:r>
        <w:t>Code</w:t>
      </w:r>
      <w:r>
        <w:tab/>
        <w:t>N/A</w:t>
      </w:r>
    </w:p>
    <w:p w14:paraId="40633F7A" w14:textId="77777777" w:rsidR="00782F68" w:rsidRDefault="00270A6D">
      <w:pPr>
        <w:pStyle w:val="BodyText"/>
        <w:tabs>
          <w:tab w:val="left" w:pos="4672"/>
        </w:tabs>
        <w:ind w:left="4672" w:right="167" w:hanging="4561"/>
      </w:pPr>
      <w:r>
        <w:t>Other</w:t>
      </w:r>
      <w:r>
        <w:rPr>
          <w:spacing w:val="-3"/>
        </w:rPr>
        <w:t xml:space="preserve"> </w:t>
      </w:r>
      <w:r>
        <w:t>Information</w:t>
      </w:r>
      <w:r>
        <w:tab/>
        <w:t xml:space="preserve">Not Classified as a dangerous </w:t>
      </w:r>
      <w:proofErr w:type="gramStart"/>
      <w:r>
        <w:t>good, and</w:t>
      </w:r>
      <w:proofErr w:type="gramEnd"/>
      <w:r>
        <w:t xml:space="preserve"> exempt from the requirements of the ADG</w:t>
      </w:r>
      <w:r>
        <w:rPr>
          <w:spacing w:val="-13"/>
        </w:rPr>
        <w:t xml:space="preserve"> </w:t>
      </w:r>
      <w:r>
        <w:t>Code.</w:t>
      </w:r>
    </w:p>
    <w:p w14:paraId="3A8707B5" w14:textId="77777777" w:rsidR="00782F68" w:rsidRDefault="00782F68">
      <w:pPr>
        <w:pStyle w:val="BodyText"/>
        <w:spacing w:before="1"/>
      </w:pPr>
    </w:p>
    <w:p w14:paraId="693F832B" w14:textId="77777777" w:rsidR="00782F68" w:rsidRDefault="00270A6D">
      <w:pPr>
        <w:pStyle w:val="BodyText"/>
        <w:ind w:left="112"/>
      </w:pPr>
      <w:r>
        <w:t>IMDG Code</w:t>
      </w:r>
    </w:p>
    <w:p w14:paraId="4497EF59" w14:textId="77777777" w:rsidR="00782F68" w:rsidRDefault="00782F68">
      <w:pPr>
        <w:pStyle w:val="BodyText"/>
        <w:spacing w:before="1"/>
      </w:pPr>
    </w:p>
    <w:p w14:paraId="13C6044C" w14:textId="77777777" w:rsidR="00782F68" w:rsidRDefault="00270A6D">
      <w:pPr>
        <w:pStyle w:val="BodyText"/>
        <w:tabs>
          <w:tab w:val="left" w:pos="4672"/>
        </w:tabs>
        <w:spacing w:line="252" w:lineRule="exact"/>
        <w:ind w:left="112"/>
      </w:pPr>
      <w:r>
        <w:t>UN</w:t>
      </w:r>
      <w:r>
        <w:rPr>
          <w:spacing w:val="-1"/>
        </w:rPr>
        <w:t xml:space="preserve"> </w:t>
      </w:r>
      <w:r>
        <w:t>number</w:t>
      </w:r>
      <w:r>
        <w:tab/>
        <w:t>Not</w:t>
      </w:r>
      <w:r>
        <w:rPr>
          <w:spacing w:val="-4"/>
        </w:rPr>
        <w:t xml:space="preserve"> </w:t>
      </w:r>
      <w:r>
        <w:t>applicable</w:t>
      </w:r>
    </w:p>
    <w:p w14:paraId="2E9F9EB8" w14:textId="77777777" w:rsidR="00782F68" w:rsidRDefault="00270A6D">
      <w:pPr>
        <w:pStyle w:val="BodyText"/>
        <w:tabs>
          <w:tab w:val="left" w:pos="4672"/>
        </w:tabs>
        <w:spacing w:line="252" w:lineRule="exact"/>
        <w:ind w:left="112"/>
      </w:pPr>
      <w:r>
        <w:t>Class</w:t>
      </w:r>
      <w:r>
        <w:tab/>
        <w:t>Not</w:t>
      </w:r>
      <w:r>
        <w:rPr>
          <w:spacing w:val="-5"/>
        </w:rPr>
        <w:t xml:space="preserve"> </w:t>
      </w:r>
      <w:r>
        <w:t>applicable</w:t>
      </w:r>
    </w:p>
    <w:p w14:paraId="3C98BAC8" w14:textId="77777777" w:rsidR="00782F68" w:rsidRDefault="00270A6D">
      <w:pPr>
        <w:pStyle w:val="BodyText"/>
        <w:spacing w:line="252" w:lineRule="exact"/>
        <w:ind w:left="112"/>
      </w:pPr>
      <w:r>
        <w:t>Packing Group</w:t>
      </w:r>
    </w:p>
    <w:p w14:paraId="4A425E80" w14:textId="77777777" w:rsidR="00782F68" w:rsidRDefault="00270A6D">
      <w:pPr>
        <w:pStyle w:val="BodyText"/>
        <w:tabs>
          <w:tab w:val="left" w:pos="4672"/>
        </w:tabs>
        <w:spacing w:before="1" w:line="252" w:lineRule="exact"/>
        <w:ind w:left="112"/>
      </w:pPr>
      <w:r>
        <w:t>Hazchem Code</w:t>
      </w:r>
      <w:r>
        <w:tab/>
        <w:t>N/A</w:t>
      </w:r>
    </w:p>
    <w:p w14:paraId="6F303827" w14:textId="77777777" w:rsidR="00782F68" w:rsidRDefault="00270A6D">
      <w:pPr>
        <w:pStyle w:val="BodyText"/>
        <w:tabs>
          <w:tab w:val="left" w:pos="4672"/>
        </w:tabs>
        <w:ind w:left="4672" w:right="167" w:hanging="4561"/>
      </w:pPr>
      <w:r>
        <w:t>Other</w:t>
      </w:r>
      <w:r>
        <w:rPr>
          <w:spacing w:val="-3"/>
        </w:rPr>
        <w:t xml:space="preserve"> </w:t>
      </w:r>
      <w:r>
        <w:t>Information</w:t>
      </w:r>
      <w:r>
        <w:tab/>
        <w:t xml:space="preserve">Not Classified as a dangerous </w:t>
      </w:r>
      <w:proofErr w:type="gramStart"/>
      <w:r>
        <w:t>good, and</w:t>
      </w:r>
      <w:proofErr w:type="gramEnd"/>
      <w:r>
        <w:t xml:space="preserve"> exempt from the requirements of the IMDG</w:t>
      </w:r>
      <w:r>
        <w:rPr>
          <w:spacing w:val="-2"/>
        </w:rPr>
        <w:t xml:space="preserve"> </w:t>
      </w:r>
      <w:r>
        <w:t>Code.</w:t>
      </w:r>
    </w:p>
    <w:p w14:paraId="27E72056" w14:textId="77777777" w:rsidR="00782F68" w:rsidRDefault="00270A6D">
      <w:pPr>
        <w:pStyle w:val="BodyText"/>
        <w:ind w:left="112"/>
      </w:pPr>
      <w:r>
        <w:t>IATA</w:t>
      </w:r>
    </w:p>
    <w:p w14:paraId="68D059EF" w14:textId="77777777" w:rsidR="00782F68" w:rsidRDefault="00782F68">
      <w:pPr>
        <w:pStyle w:val="BodyText"/>
      </w:pPr>
    </w:p>
    <w:p w14:paraId="1C1705BC" w14:textId="77777777" w:rsidR="00782F68" w:rsidRDefault="00270A6D">
      <w:pPr>
        <w:pStyle w:val="BodyText"/>
        <w:tabs>
          <w:tab w:val="left" w:pos="4672"/>
        </w:tabs>
        <w:spacing w:before="1" w:line="253" w:lineRule="exact"/>
        <w:ind w:left="112"/>
      </w:pPr>
      <w:r>
        <w:t>UN</w:t>
      </w:r>
      <w:r>
        <w:rPr>
          <w:spacing w:val="-1"/>
        </w:rPr>
        <w:t xml:space="preserve"> </w:t>
      </w:r>
      <w:r>
        <w:t>number</w:t>
      </w:r>
      <w:r>
        <w:tab/>
        <w:t>Not</w:t>
      </w:r>
      <w:r>
        <w:rPr>
          <w:spacing w:val="-4"/>
        </w:rPr>
        <w:t xml:space="preserve"> </w:t>
      </w:r>
      <w:r>
        <w:t>applicable</w:t>
      </w:r>
    </w:p>
    <w:p w14:paraId="3A43C3F4" w14:textId="77777777" w:rsidR="00782F68" w:rsidRDefault="00270A6D">
      <w:pPr>
        <w:pStyle w:val="BodyText"/>
        <w:tabs>
          <w:tab w:val="left" w:pos="4672"/>
        </w:tabs>
        <w:ind w:left="112"/>
      </w:pPr>
      <w:r>
        <w:t>Class</w:t>
      </w:r>
      <w:r>
        <w:tab/>
        <w:t>Not</w:t>
      </w:r>
      <w:r>
        <w:rPr>
          <w:spacing w:val="-5"/>
        </w:rPr>
        <w:t xml:space="preserve"> </w:t>
      </w:r>
      <w:r>
        <w:t>applicable</w:t>
      </w:r>
    </w:p>
    <w:p w14:paraId="54C14C7E" w14:textId="77777777" w:rsidR="00782F68" w:rsidRDefault="00270A6D">
      <w:pPr>
        <w:pStyle w:val="BodyText"/>
        <w:spacing w:before="1" w:line="252" w:lineRule="exact"/>
        <w:ind w:left="112"/>
      </w:pPr>
      <w:r>
        <w:t>Packing Group</w:t>
      </w:r>
    </w:p>
    <w:p w14:paraId="16A06A59" w14:textId="77777777" w:rsidR="00782F68" w:rsidRDefault="00270A6D">
      <w:pPr>
        <w:pStyle w:val="BodyText"/>
        <w:tabs>
          <w:tab w:val="left" w:pos="4672"/>
        </w:tabs>
        <w:spacing w:line="252" w:lineRule="exact"/>
        <w:ind w:left="112"/>
      </w:pPr>
      <w:r>
        <w:t>Hazchem</w:t>
      </w:r>
      <w:r>
        <w:rPr>
          <w:spacing w:val="-1"/>
        </w:rPr>
        <w:t xml:space="preserve"> </w:t>
      </w:r>
      <w:r>
        <w:t>Code</w:t>
      </w:r>
      <w:r>
        <w:tab/>
        <w:t>N/A</w:t>
      </w:r>
    </w:p>
    <w:p w14:paraId="231C9361" w14:textId="77777777" w:rsidR="00782F68" w:rsidRDefault="00270A6D">
      <w:pPr>
        <w:pStyle w:val="BodyText"/>
        <w:tabs>
          <w:tab w:val="left" w:pos="4672"/>
        </w:tabs>
        <w:spacing w:before="1"/>
        <w:ind w:left="4672" w:right="164" w:hanging="4561"/>
      </w:pPr>
      <w:r>
        <w:t>Other</w:t>
      </w:r>
      <w:r>
        <w:rPr>
          <w:spacing w:val="-3"/>
        </w:rPr>
        <w:t xml:space="preserve"> </w:t>
      </w:r>
      <w:r>
        <w:t>Information</w:t>
      </w:r>
      <w:r>
        <w:tab/>
        <w:t xml:space="preserve">Not Classified as a dangerous </w:t>
      </w:r>
      <w:proofErr w:type="gramStart"/>
      <w:r>
        <w:t>good, and</w:t>
      </w:r>
      <w:proofErr w:type="gramEnd"/>
      <w:r>
        <w:t xml:space="preserve"> exempt from the requirements of the</w:t>
      </w:r>
      <w:r>
        <w:rPr>
          <w:spacing w:val="-3"/>
        </w:rPr>
        <w:t xml:space="preserve"> </w:t>
      </w:r>
      <w:r>
        <w:rPr>
          <w:spacing w:val="-8"/>
        </w:rPr>
        <w:t>IATA.</w:t>
      </w:r>
    </w:p>
    <w:p w14:paraId="1A4EA8D0" w14:textId="77777777" w:rsidR="00782F68" w:rsidRDefault="00782F68">
      <w:pPr>
        <w:pStyle w:val="BodyText"/>
        <w:rPr>
          <w:sz w:val="14"/>
        </w:rPr>
      </w:pPr>
    </w:p>
    <w:p w14:paraId="56AEEC5B" w14:textId="77777777" w:rsidR="00782F68" w:rsidRDefault="00270A6D">
      <w:pPr>
        <w:pStyle w:val="Heading1"/>
        <w:spacing w:before="92"/>
        <w:rPr>
          <w:u w:val="none"/>
        </w:rPr>
      </w:pPr>
      <w:r>
        <w:t>Other Information</w:t>
      </w:r>
    </w:p>
    <w:p w14:paraId="0FAE5320" w14:textId="77777777" w:rsidR="00782F68" w:rsidRDefault="00270A6D">
      <w:pPr>
        <w:pStyle w:val="BodyText"/>
        <w:spacing w:before="182"/>
        <w:ind w:left="112" w:right="166"/>
        <w:jc w:val="both"/>
      </w:pPr>
      <w:r>
        <w:t xml:space="preserve">The information contained herein is based on the data available to us and is believed to be correct. </w:t>
      </w:r>
      <w:r>
        <w:rPr>
          <w:spacing w:val="-3"/>
        </w:rPr>
        <w:t xml:space="preserve">However, </w:t>
      </w:r>
      <w:proofErr w:type="spellStart"/>
      <w:r>
        <w:rPr>
          <w:spacing w:val="-3"/>
        </w:rPr>
        <w:t>T</w:t>
      </w:r>
      <w:r>
        <w:t>eozon</w:t>
      </w:r>
      <w:proofErr w:type="spellEnd"/>
      <w:r>
        <w:t xml:space="preserve"> Manufacturing (Asia) Sdn Bhd, makes no warranty expressed or implied regarding the accuracy of these data. Since every chemical may have unpredictable </w:t>
      </w:r>
      <w:proofErr w:type="spellStart"/>
      <w:r>
        <w:t>hazadous</w:t>
      </w:r>
      <w:proofErr w:type="spellEnd"/>
      <w:r>
        <w:t xml:space="preserve"> properties, close attention is required when handling. The user is responsible for determining the suitability of this product </w:t>
      </w:r>
      <w:proofErr w:type="gramStart"/>
      <w:r>
        <w:t>for  intended</w:t>
      </w:r>
      <w:proofErr w:type="gramEnd"/>
      <w:r>
        <w:t xml:space="preserve"> application.</w:t>
      </w:r>
    </w:p>
    <w:sectPr w:rsidR="00782F68" w:rsidSect="00782F68">
      <w:pgSz w:w="11910" w:h="16850"/>
      <w:pgMar w:top="58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oyagiKouzanFontT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F68"/>
    <w:rsid w:val="000125FF"/>
    <w:rsid w:val="00270A6D"/>
    <w:rsid w:val="002C08EE"/>
    <w:rsid w:val="0078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61BBFC5"/>
  <w15:docId w15:val="{0D78AD31-659A-498F-A505-C8E68329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782F68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782F68"/>
    <w:pPr>
      <w:ind w:left="112"/>
      <w:jc w:val="both"/>
      <w:outlineLvl w:val="0"/>
    </w:pPr>
    <w:rPr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82F68"/>
  </w:style>
  <w:style w:type="paragraph" w:styleId="Title">
    <w:name w:val="Title"/>
    <w:basedOn w:val="Normal"/>
    <w:uiPriority w:val="1"/>
    <w:qFormat/>
    <w:rsid w:val="00782F68"/>
    <w:pPr>
      <w:spacing w:before="40"/>
      <w:ind w:right="52"/>
      <w:jc w:val="center"/>
    </w:pPr>
    <w:rPr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782F68"/>
  </w:style>
  <w:style w:type="paragraph" w:customStyle="1" w:styleId="TableParagraph">
    <w:name w:val="Table Paragraph"/>
    <w:basedOn w:val="Normal"/>
    <w:uiPriority w:val="1"/>
    <w:qFormat/>
    <w:rsid w:val="00782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MSDS</dc:title>
  <dc:creator>ENT</dc:creator>
  <cp:lastModifiedBy>WENDY MAK XIN YEE</cp:lastModifiedBy>
  <cp:revision>3</cp:revision>
  <dcterms:created xsi:type="dcterms:W3CDTF">2020-03-21T06:16:00Z</dcterms:created>
  <dcterms:modified xsi:type="dcterms:W3CDTF">2020-05-13T13:21:00Z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2020-03-21T00:00:00Z</vt:filetime>
  </property>
</Properties>
</file>